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w:cs="Roboto" w:eastAsia="Roboto" w:hAnsi="Roboto"/>
          <w:b w:val="1"/>
          <w:sz w:val="26"/>
          <w:szCs w:val="26"/>
        </w:rPr>
      </w:pPr>
      <w:r w:rsidDel="00000000" w:rsidR="00000000" w:rsidRPr="00000000">
        <w:rPr>
          <w:rFonts w:ascii="Roboto" w:cs="Roboto" w:eastAsia="Roboto" w:hAnsi="Roboto"/>
          <w:b w:val="1"/>
          <w:sz w:val="26"/>
          <w:szCs w:val="26"/>
        </w:rPr>
        <w:drawing>
          <wp:inline distB="114300" distT="114300" distL="114300" distR="114300">
            <wp:extent cx="2727488" cy="774017"/>
            <wp:effectExtent b="0" l="0" r="0" t="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727488" cy="77401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03">
      <w:pPr>
        <w:jc w:val="center"/>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COMMUNIQUÉ DE PRESSE</w:t>
      </w:r>
    </w:p>
    <w:p w:rsidR="00000000" w:rsidDel="00000000" w:rsidP="00000000" w:rsidRDefault="00000000" w:rsidRPr="00000000" w14:paraId="00000004">
      <w:pPr>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le 20 mai 2021</w:t>
      </w:r>
    </w:p>
    <w:p w:rsidR="00000000" w:rsidDel="00000000" w:rsidP="00000000" w:rsidRDefault="00000000" w:rsidRPr="00000000" w14:paraId="00000005">
      <w:pPr>
        <w:rPr>
          <w:rFonts w:ascii="Roboto" w:cs="Roboto" w:eastAsia="Roboto" w:hAnsi="Roboto"/>
        </w:rPr>
      </w:pPr>
      <w:r w:rsidDel="00000000" w:rsidR="00000000" w:rsidRPr="00000000">
        <w:rPr>
          <w:rtl w:val="0"/>
        </w:rPr>
      </w:r>
    </w:p>
    <w:p w:rsidR="00000000" w:rsidDel="00000000" w:rsidP="00000000" w:rsidRDefault="00000000" w:rsidRPr="00000000" w14:paraId="00000006">
      <w:pPr>
        <w:rPr>
          <w:rFonts w:ascii="Roboto" w:cs="Roboto" w:eastAsia="Roboto" w:hAnsi="Roboto"/>
        </w:rPr>
      </w:pPr>
      <w:r w:rsidDel="00000000" w:rsidR="00000000" w:rsidRPr="00000000">
        <w:rPr>
          <w:rtl w:val="0"/>
        </w:rPr>
      </w:r>
    </w:p>
    <w:p w:rsidR="00000000" w:rsidDel="00000000" w:rsidP="00000000" w:rsidRDefault="00000000" w:rsidRPr="00000000" w14:paraId="00000007">
      <w:pPr>
        <w:jc w:val="both"/>
        <w:rPr>
          <w:rFonts w:ascii="Roboto" w:cs="Roboto" w:eastAsia="Roboto" w:hAnsi="Roboto"/>
          <w:b w:val="1"/>
          <w:sz w:val="30"/>
          <w:szCs w:val="30"/>
        </w:rPr>
      </w:pPr>
      <w:r w:rsidDel="00000000" w:rsidR="00000000" w:rsidRPr="00000000">
        <w:rPr>
          <w:rFonts w:ascii="Roboto" w:cs="Roboto" w:eastAsia="Roboto" w:hAnsi="Roboto"/>
          <w:b w:val="1"/>
          <w:color w:val="ff0000"/>
          <w:sz w:val="30"/>
          <w:szCs w:val="30"/>
          <w:rtl w:val="0"/>
        </w:rPr>
        <w:t xml:space="preserve">Le nom de la</w:t>
      </w:r>
      <w:r w:rsidDel="00000000" w:rsidR="00000000" w:rsidRPr="00000000">
        <w:rPr>
          <w:rFonts w:ascii="Roboto" w:cs="Roboto" w:eastAsia="Roboto" w:hAnsi="Roboto"/>
          <w:b w:val="1"/>
          <w:sz w:val="30"/>
          <w:szCs w:val="30"/>
          <w:rtl w:val="0"/>
        </w:rPr>
        <w:t xml:space="preserve"> </w:t>
      </w:r>
      <w:r w:rsidDel="00000000" w:rsidR="00000000" w:rsidRPr="00000000">
        <w:rPr>
          <w:rFonts w:ascii="Roboto" w:cs="Roboto" w:eastAsia="Roboto" w:hAnsi="Roboto"/>
          <w:b w:val="1"/>
          <w:color w:val="ff0000"/>
          <w:sz w:val="30"/>
          <w:szCs w:val="30"/>
          <w:rtl w:val="0"/>
        </w:rPr>
        <w:t xml:space="preserve">structure</w:t>
      </w:r>
      <w:r w:rsidDel="00000000" w:rsidR="00000000" w:rsidRPr="00000000">
        <w:rPr>
          <w:rFonts w:ascii="Roboto" w:cs="Roboto" w:eastAsia="Roboto" w:hAnsi="Roboto"/>
          <w:b w:val="1"/>
          <w:sz w:val="30"/>
          <w:szCs w:val="30"/>
          <w:rtl w:val="0"/>
        </w:rPr>
        <w:t xml:space="preserve"> veille au bien être de ses </w:t>
      </w:r>
      <w:r w:rsidDel="00000000" w:rsidR="00000000" w:rsidRPr="00000000">
        <w:rPr>
          <w:rFonts w:ascii="Roboto" w:cs="Roboto" w:eastAsia="Roboto" w:hAnsi="Roboto"/>
          <w:b w:val="1"/>
          <w:color w:val="ff0000"/>
          <w:sz w:val="30"/>
          <w:szCs w:val="30"/>
          <w:rtl w:val="0"/>
        </w:rPr>
        <w:t xml:space="preserve">bénéficiaires/patients</w:t>
      </w:r>
      <w:r w:rsidDel="00000000" w:rsidR="00000000" w:rsidRPr="00000000">
        <w:rPr>
          <w:rFonts w:ascii="Roboto" w:cs="Roboto" w:eastAsia="Roboto" w:hAnsi="Roboto"/>
          <w:b w:val="1"/>
          <w:sz w:val="30"/>
          <w:szCs w:val="30"/>
          <w:rtl w:val="0"/>
        </w:rPr>
        <w:t xml:space="preserve"> déficients visuels</w:t>
      </w:r>
    </w:p>
    <w:p w:rsidR="00000000" w:rsidDel="00000000" w:rsidP="00000000" w:rsidRDefault="00000000" w:rsidRPr="00000000" w14:paraId="00000008">
      <w:pPr>
        <w:jc w:val="both"/>
        <w:rPr>
          <w:rFonts w:ascii="Roboto" w:cs="Roboto" w:eastAsia="Roboto" w:hAnsi="Roboto"/>
        </w:rPr>
      </w:pPr>
      <w:r w:rsidDel="00000000" w:rsidR="00000000" w:rsidRPr="00000000">
        <w:rPr>
          <w:rtl w:val="0"/>
        </w:rPr>
      </w:r>
    </w:p>
    <w:p w:rsidR="00000000" w:rsidDel="00000000" w:rsidP="00000000" w:rsidRDefault="00000000" w:rsidRPr="00000000" w14:paraId="00000009">
      <w:pPr>
        <w:jc w:val="both"/>
        <w:rPr>
          <w:rFonts w:ascii="Roboto" w:cs="Roboto" w:eastAsia="Roboto" w:hAnsi="Roboto"/>
        </w:rPr>
      </w:pPr>
      <w:r w:rsidDel="00000000" w:rsidR="00000000" w:rsidRPr="00000000">
        <w:rPr>
          <w:rtl w:val="0"/>
        </w:rPr>
      </w:r>
    </w:p>
    <w:p w:rsidR="00000000" w:rsidDel="00000000" w:rsidP="00000000" w:rsidRDefault="00000000" w:rsidRPr="00000000" w14:paraId="0000000A">
      <w:pPr>
        <w:jc w:val="both"/>
        <w:rPr>
          <w:sz w:val="24"/>
          <w:szCs w:val="24"/>
        </w:rPr>
      </w:pPr>
      <w:r w:rsidDel="00000000" w:rsidR="00000000" w:rsidRPr="00000000">
        <w:rPr>
          <w:sz w:val="24"/>
          <w:szCs w:val="24"/>
          <w:rtl w:val="0"/>
        </w:rPr>
        <w:t xml:space="preserve">Lorsqu'une personne déficiente visuelle apprend que sa pathologie est incurable et/ou que sa vision va</w:t>
      </w:r>
      <w:r w:rsidDel="00000000" w:rsidR="00000000" w:rsidRPr="00000000">
        <w:rPr>
          <w:sz w:val="24"/>
          <w:szCs w:val="24"/>
          <w:rtl w:val="0"/>
        </w:rPr>
        <w:t xml:space="preserve"> baisser</w:t>
      </w:r>
      <w:r w:rsidDel="00000000" w:rsidR="00000000" w:rsidRPr="00000000">
        <w:rPr>
          <w:sz w:val="24"/>
          <w:szCs w:val="24"/>
          <w:rtl w:val="0"/>
        </w:rPr>
        <w:t xml:space="preserve">, peu d’informations ou de conseils lui sont donnés. Elle ne sait généralement pas vers qui se tourner.</w:t>
      </w: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jc w:val="both"/>
        <w:rPr>
          <w:sz w:val="24"/>
          <w:szCs w:val="24"/>
        </w:rPr>
      </w:pPr>
      <w:r w:rsidDel="00000000" w:rsidR="00000000" w:rsidRPr="00000000">
        <w:rPr>
          <w:sz w:val="24"/>
          <w:szCs w:val="24"/>
          <w:rtl w:val="0"/>
        </w:rPr>
        <w:t xml:space="preserve">C’est pour cela que </w:t>
      </w:r>
      <w:r w:rsidDel="00000000" w:rsidR="00000000" w:rsidRPr="00000000">
        <w:rPr>
          <w:b w:val="1"/>
          <w:color w:val="ff0000"/>
          <w:sz w:val="24"/>
          <w:szCs w:val="24"/>
          <w:rtl w:val="0"/>
        </w:rPr>
        <w:t xml:space="preserve">le nom de la structure </w:t>
      </w:r>
      <w:r w:rsidDel="00000000" w:rsidR="00000000" w:rsidRPr="00000000">
        <w:rPr>
          <w:sz w:val="24"/>
          <w:szCs w:val="24"/>
          <w:rtl w:val="0"/>
        </w:rPr>
        <w:t xml:space="preserve">et HYPRA ont mis en place gratuitement </w:t>
      </w:r>
      <w:r w:rsidDel="00000000" w:rsidR="00000000" w:rsidRPr="00000000">
        <w:rPr>
          <w:sz w:val="24"/>
          <w:szCs w:val="24"/>
          <w:rtl w:val="0"/>
        </w:rPr>
        <w:t xml:space="preserve">les</w:t>
      </w:r>
      <w:r w:rsidDel="00000000" w:rsidR="00000000" w:rsidRPr="00000000">
        <w:rPr>
          <w:b w:val="1"/>
          <w:sz w:val="24"/>
          <w:szCs w:val="24"/>
          <w:rtl w:val="0"/>
        </w:rPr>
        <w:t xml:space="preserve"> </w:t>
      </w:r>
      <w:r w:rsidDel="00000000" w:rsidR="00000000" w:rsidRPr="00000000">
        <w:rPr>
          <w:b w:val="1"/>
          <w:sz w:val="24"/>
          <w:szCs w:val="24"/>
          <w:rtl w:val="0"/>
        </w:rPr>
        <w:t xml:space="preserve">ateliers résilience</w:t>
      </w:r>
      <w:r w:rsidDel="00000000" w:rsidR="00000000" w:rsidRPr="00000000">
        <w:rPr>
          <w:sz w:val="24"/>
          <w:szCs w:val="24"/>
          <w:rtl w:val="0"/>
        </w:rPr>
        <w:t xml:space="preserve"> pour les </w:t>
      </w:r>
      <w:r w:rsidDel="00000000" w:rsidR="00000000" w:rsidRPr="00000000">
        <w:rPr>
          <w:b w:val="1"/>
          <w:sz w:val="24"/>
          <w:szCs w:val="24"/>
          <w:rtl w:val="0"/>
        </w:rPr>
        <w:t xml:space="preserve">personnes de plus de 40 ans atteintes de déficience visuelle</w:t>
      </w:r>
      <w:r w:rsidDel="00000000" w:rsidR="00000000" w:rsidRPr="00000000">
        <w:rPr>
          <w:sz w:val="24"/>
          <w:szCs w:val="24"/>
          <w:rtl w:val="0"/>
        </w:rPr>
        <w:t xml:space="preserve">.</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jc w:val="both"/>
        <w:rPr>
          <w:sz w:val="24"/>
          <w:szCs w:val="24"/>
        </w:rPr>
      </w:pPr>
      <w:r w:rsidDel="00000000" w:rsidR="00000000" w:rsidRPr="00000000">
        <w:rPr>
          <w:sz w:val="24"/>
          <w:szCs w:val="24"/>
          <w:rtl w:val="0"/>
        </w:rPr>
        <w:t xml:space="preserve">Ces cycles de 4 ateliers ont été créés avec le Conseil Médical et Scientifique de HYPRA pour offrir aux</w:t>
      </w:r>
      <w:r w:rsidDel="00000000" w:rsidR="00000000" w:rsidRPr="00000000">
        <w:rPr>
          <w:rFonts w:ascii="Roboto" w:cs="Roboto" w:eastAsia="Roboto" w:hAnsi="Roboto"/>
          <w:b w:val="1"/>
          <w:sz w:val="24"/>
          <w:szCs w:val="24"/>
          <w:rtl w:val="0"/>
        </w:rPr>
        <w:t xml:space="preserve"> personnes déficientes visuelles </w:t>
      </w:r>
      <w:r w:rsidDel="00000000" w:rsidR="00000000" w:rsidRPr="00000000">
        <w:rPr>
          <w:sz w:val="24"/>
          <w:szCs w:val="24"/>
          <w:rtl w:val="0"/>
        </w:rPr>
        <w:t xml:space="preserve">accompagnement, soutien, écoute et informations de façon à favoriser la qualité de vie et le maintien à domicile.</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jc w:val="both"/>
        <w:rPr>
          <w:sz w:val="24"/>
          <w:szCs w:val="24"/>
        </w:rPr>
      </w:pPr>
      <w:r w:rsidDel="00000000" w:rsidR="00000000" w:rsidRPr="00000000">
        <w:rPr>
          <w:sz w:val="24"/>
          <w:szCs w:val="24"/>
          <w:rtl w:val="0"/>
        </w:rPr>
        <w:t xml:space="preserve">Durant le cycle, tout sera mis en œuvre pour reprendre confiance en soi, surmonter les angoisses liées à la perte de vue et s’orienter vers des solutions. </w:t>
      </w:r>
    </w:p>
    <w:p w:rsidR="00000000" w:rsidDel="00000000" w:rsidP="00000000" w:rsidRDefault="00000000" w:rsidRPr="00000000" w14:paraId="00000011">
      <w:pPr>
        <w:jc w:val="both"/>
        <w:rPr>
          <w:sz w:val="24"/>
          <w:szCs w:val="24"/>
        </w:rPr>
      </w:pPr>
      <w:r w:rsidDel="00000000" w:rsidR="00000000" w:rsidRPr="00000000">
        <w:rPr>
          <w:rtl w:val="0"/>
        </w:rPr>
      </w:r>
    </w:p>
    <w:p w:rsidR="00000000" w:rsidDel="00000000" w:rsidP="00000000" w:rsidRDefault="00000000" w:rsidRPr="00000000" w14:paraId="00000012">
      <w:pPr>
        <w:jc w:val="both"/>
        <w:rPr>
          <w:sz w:val="24"/>
          <w:szCs w:val="24"/>
        </w:rPr>
      </w:pPr>
      <w:r w:rsidDel="00000000" w:rsidR="00000000" w:rsidRPr="00000000">
        <w:rPr>
          <w:sz w:val="24"/>
          <w:szCs w:val="24"/>
          <w:rtl w:val="0"/>
        </w:rPr>
        <w:t xml:space="preserve">Les ateliers se déroulent par téléphone, en petits groupes et ils sont animés par des spécialistes de la prévention de la perte d’autonomie ainsi que des personnes ayant le même vécu.</w:t>
      </w:r>
    </w:p>
    <w:p w:rsidR="00000000" w:rsidDel="00000000" w:rsidP="00000000" w:rsidRDefault="00000000" w:rsidRPr="00000000" w14:paraId="00000013">
      <w:pPr>
        <w:jc w:val="both"/>
        <w:rPr>
          <w:sz w:val="24"/>
          <w:szCs w:val="24"/>
        </w:rPr>
      </w:pPr>
      <w:r w:rsidDel="00000000" w:rsidR="00000000" w:rsidRPr="00000000">
        <w:rPr>
          <w:rtl w:val="0"/>
        </w:rPr>
      </w:r>
    </w:p>
    <w:p w:rsidR="00000000" w:rsidDel="00000000" w:rsidP="00000000" w:rsidRDefault="00000000" w:rsidRPr="00000000" w14:paraId="00000014">
      <w:pPr>
        <w:jc w:val="both"/>
        <w:rPr>
          <w:sz w:val="24"/>
          <w:szCs w:val="24"/>
        </w:rPr>
      </w:pPr>
      <w:r w:rsidDel="00000000" w:rsidR="00000000" w:rsidRPr="00000000">
        <w:rPr>
          <w:sz w:val="24"/>
          <w:szCs w:val="24"/>
          <w:rtl w:val="0"/>
        </w:rPr>
        <w:t xml:space="preserve">Pour plus d’informations, contactez le </w:t>
      </w:r>
      <w:r w:rsidDel="00000000" w:rsidR="00000000" w:rsidRPr="00000000">
        <w:rPr>
          <w:b w:val="1"/>
          <w:color w:val="ff0000"/>
          <w:sz w:val="24"/>
          <w:szCs w:val="24"/>
          <w:rtl w:val="0"/>
        </w:rPr>
        <w:t xml:space="preserve">numéro de téléphone de la structure</w:t>
      </w:r>
      <w:r w:rsidDel="00000000" w:rsidR="00000000" w:rsidRPr="00000000">
        <w:rPr>
          <w:sz w:val="24"/>
          <w:szCs w:val="24"/>
          <w:rtl w:val="0"/>
        </w:rPr>
        <w:t xml:space="preserve"> ou contactez HYPRA au 01.84.73.06.61.</w:t>
      </w:r>
    </w:p>
    <w:p w:rsidR="00000000" w:rsidDel="00000000" w:rsidP="00000000" w:rsidRDefault="00000000" w:rsidRPr="00000000" w14:paraId="00000015">
      <w:pPr>
        <w:jc w:val="both"/>
        <w:rPr>
          <w:sz w:val="24"/>
          <w:szCs w:val="24"/>
        </w:rPr>
      </w:pPr>
      <w:r w:rsidDel="00000000" w:rsidR="00000000" w:rsidRPr="00000000">
        <w:rPr>
          <w:rtl w:val="0"/>
        </w:rPr>
      </w:r>
    </w:p>
    <w:p w:rsidR="00000000" w:rsidDel="00000000" w:rsidP="00000000" w:rsidRDefault="00000000" w:rsidRPr="00000000" w14:paraId="00000016">
      <w:pPr>
        <w:jc w:val="both"/>
        <w:rPr>
          <w:sz w:val="24"/>
          <w:szCs w:val="24"/>
        </w:rPr>
      </w:pPr>
      <w:r w:rsidDel="00000000" w:rsidR="00000000" w:rsidRPr="00000000">
        <w:rPr>
          <w:sz w:val="24"/>
          <w:szCs w:val="24"/>
          <w:rtl w:val="0"/>
        </w:rPr>
        <w:t xml:space="preserve">HYPRA, créée en 2015, est un organisme solidaire d'utilité sociale classé n°3 en France dans la lutte contre les inégalités par le classement </w:t>
      </w:r>
      <w:r w:rsidDel="00000000" w:rsidR="00000000" w:rsidRPr="00000000">
        <w:rPr>
          <w:sz w:val="24"/>
          <w:szCs w:val="24"/>
          <w:rtl w:val="0"/>
        </w:rPr>
        <w:t xml:space="preserve">TOP50</w:t>
      </w:r>
      <w:r w:rsidDel="00000000" w:rsidR="00000000" w:rsidRPr="00000000">
        <w:rPr>
          <w:sz w:val="24"/>
          <w:szCs w:val="24"/>
          <w:rtl w:val="0"/>
        </w:rPr>
        <w:t xml:space="preserve"> 2021 de l’entreprenariat à impact social. Elle accompagne les personnes déficientes visuelles dans leur entrée en résilience.</w:t>
      </w:r>
      <w:r w:rsidDel="00000000" w:rsidR="00000000" w:rsidRPr="00000000">
        <w:rPr>
          <w:rtl w:val="0"/>
        </w:rPr>
      </w:r>
    </w:p>
    <w:p w:rsidR="00000000" w:rsidDel="00000000" w:rsidP="00000000" w:rsidRDefault="00000000" w:rsidRPr="00000000" w14:paraId="00000017">
      <w:pPr>
        <w:jc w:val="left"/>
        <w:rPr>
          <w:b w:val="1"/>
          <w:sz w:val="26"/>
          <w:szCs w:val="26"/>
        </w:rPr>
      </w:pPr>
      <w:r w:rsidDel="00000000" w:rsidR="00000000" w:rsidRPr="00000000">
        <w:rPr>
          <w:rtl w:val="0"/>
        </w:rPr>
      </w:r>
    </w:p>
    <w:p w:rsidR="00000000" w:rsidDel="00000000" w:rsidP="00000000" w:rsidRDefault="00000000" w:rsidRPr="00000000" w14:paraId="00000018">
      <w:pPr>
        <w:jc w:val="left"/>
        <w:rPr>
          <w:b w:val="1"/>
          <w:sz w:val="26"/>
          <w:szCs w:val="26"/>
        </w:rPr>
      </w:pPr>
      <w:r w:rsidDel="00000000" w:rsidR="00000000" w:rsidRPr="00000000">
        <w:rPr>
          <w:rtl w:val="0"/>
        </w:rPr>
      </w:r>
    </w:p>
    <w:p w:rsidR="00000000" w:rsidDel="00000000" w:rsidP="00000000" w:rsidRDefault="00000000" w:rsidRPr="00000000" w14:paraId="00000019">
      <w:pPr>
        <w:rPr>
          <w:b w:val="1"/>
          <w:sz w:val="26"/>
          <w:szCs w:val="26"/>
        </w:rPr>
      </w:pPr>
      <w:r w:rsidDel="00000000" w:rsidR="00000000" w:rsidRPr="00000000">
        <w:rPr>
          <w:i w:val="1"/>
          <w:sz w:val="20"/>
          <w:szCs w:val="20"/>
          <w:rtl w:val="0"/>
        </w:rPr>
        <w:t xml:space="preserve">En partenariat avec </w:t>
        <w:tab/>
        <w:tab/>
        <w:tab/>
        <w:tab/>
        <w:tab/>
        <w:t xml:space="preserve">Action mise en place grâce au soutien de </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2876354</wp:posOffset>
            </wp:positionH>
            <wp:positionV relativeFrom="paragraph">
              <wp:posOffset>180975</wp:posOffset>
            </wp:positionV>
            <wp:extent cx="952500" cy="382994"/>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7"/>
                    <a:srcRect b="19581" l="0" r="0" t="0"/>
                    <a:stretch>
                      <a:fillRect/>
                    </a:stretch>
                  </pic:blipFill>
                  <pic:spPr>
                    <a:xfrm>
                      <a:off x="0" y="0"/>
                      <a:ext cx="952500" cy="38299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5072799</wp:posOffset>
            </wp:positionH>
            <wp:positionV relativeFrom="paragraph">
              <wp:posOffset>114300</wp:posOffset>
            </wp:positionV>
            <wp:extent cx="1063883" cy="515001"/>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63883" cy="5150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3943055</wp:posOffset>
            </wp:positionH>
            <wp:positionV relativeFrom="paragraph">
              <wp:posOffset>285650</wp:posOffset>
            </wp:positionV>
            <wp:extent cx="1066800" cy="29400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066800" cy="294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059560" cy="584890"/>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059560" cy="584890"/>
                    </a:xfrm>
                    <a:prstGeom prst="rect"/>
                    <a:ln/>
                  </pic:spPr>
                </pic:pic>
              </a:graphicData>
            </a:graphic>
          </wp:anchor>
        </w:drawing>
      </w:r>
    </w:p>
    <w:p w:rsidR="00000000" w:rsidDel="00000000" w:rsidP="00000000" w:rsidRDefault="00000000" w:rsidRPr="00000000" w14:paraId="0000001B">
      <w:pPr>
        <w:rPr>
          <w:color w:val="ff0000"/>
          <w:sz w:val="26"/>
          <w:szCs w:val="26"/>
        </w:rPr>
      </w:pPr>
      <w:r w:rsidDel="00000000" w:rsidR="00000000" w:rsidRPr="00000000">
        <w:rPr>
          <w:rtl w:val="0"/>
        </w:rPr>
      </w:r>
    </w:p>
    <w:p w:rsidR="00000000" w:rsidDel="00000000" w:rsidP="00000000" w:rsidRDefault="00000000" w:rsidRPr="00000000" w14:paraId="0000001C">
      <w:pPr>
        <w:ind w:left="4320" w:firstLine="0"/>
        <w:rPr>
          <w:color w:val="ff0000"/>
          <w:sz w:val="26"/>
          <w:szCs w:val="26"/>
        </w:rPr>
      </w:pPr>
      <w:r w:rsidDel="00000000" w:rsidR="00000000" w:rsidRPr="00000000">
        <w:rPr>
          <w:color w:val="ff0000"/>
          <w:sz w:val="26"/>
          <w:szCs w:val="26"/>
          <w:rtl w:val="0"/>
        </w:rPr>
        <w:t xml:space="preserve"> </w:t>
      </w:r>
    </w:p>
    <w:p w:rsidR="00000000" w:rsidDel="00000000" w:rsidP="00000000" w:rsidRDefault="00000000" w:rsidRPr="00000000" w14:paraId="0000001D">
      <w:pPr>
        <w:ind w:left="4320" w:firstLine="0"/>
        <w:rPr>
          <w:color w:val="ff0000"/>
          <w:sz w:val="26"/>
          <w:szCs w:val="26"/>
        </w:rPr>
      </w:pPr>
      <w:r w:rsidDel="00000000" w:rsidR="00000000" w:rsidRPr="00000000">
        <w:rPr>
          <w:rtl w:val="0"/>
        </w:rPr>
      </w:r>
    </w:p>
    <w:p w:rsidR="00000000" w:rsidDel="00000000" w:rsidP="00000000" w:rsidRDefault="00000000" w:rsidRPr="00000000" w14:paraId="0000001E">
      <w:pPr>
        <w:ind w:left="4320" w:firstLine="0"/>
        <w:rPr>
          <w:b w:val="1"/>
          <w:sz w:val="20"/>
          <w:szCs w:val="20"/>
        </w:rPr>
      </w:pPr>
      <w:r w:rsidDel="00000000" w:rsidR="00000000" w:rsidRPr="00000000">
        <w:rPr>
          <w:b w:val="1"/>
          <w:color w:val="ff0000"/>
          <w:sz w:val="20"/>
          <w:szCs w:val="20"/>
          <w:rtl w:val="0"/>
        </w:rPr>
        <w:t xml:space="preserve">[+ logo CFPPA et du département]</w:t>
      </w:r>
      <w:r w:rsidDel="00000000" w:rsidR="00000000" w:rsidRPr="00000000">
        <w:rPr>
          <w:rtl w:val="0"/>
        </w:rPr>
      </w:r>
    </w:p>
    <w:sectPr>
      <w:pgSz w:h="16834" w:w="11909" w:orient="portrait"/>
      <w:pgMar w:bottom="538.2319993505974" w:top="566.929133858267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